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3" w:type="dxa"/>
        <w:tblInd w:w="108" w:type="dxa"/>
        <w:tblLook w:val="01E0" w:firstRow="1" w:lastRow="1" w:firstColumn="1" w:lastColumn="1" w:noHBand="0" w:noVBand="0"/>
      </w:tblPr>
      <w:tblGrid>
        <w:gridCol w:w="4253"/>
        <w:gridCol w:w="5160"/>
      </w:tblGrid>
      <w:tr w:rsidR="0004124C" w:rsidRPr="00021530" w:rsidTr="00727900">
        <w:trPr>
          <w:trHeight w:val="1438"/>
        </w:trPr>
        <w:tc>
          <w:tcPr>
            <w:tcW w:w="4253" w:type="dxa"/>
            <w:shd w:val="clear" w:color="auto" w:fill="auto"/>
          </w:tcPr>
          <w:p w:rsidR="0004124C" w:rsidRPr="00021530" w:rsidRDefault="0004124C" w:rsidP="00727900">
            <w:pPr>
              <w:tabs>
                <w:tab w:val="center" w:pos="-5148"/>
              </w:tabs>
              <w:spacing w:before="60"/>
              <w:ind w:left="-108" w:right="-58"/>
              <w:jc w:val="center"/>
              <w:rPr>
                <w:b/>
                <w:sz w:val="26"/>
                <w:szCs w:val="26"/>
                <w:lang w:val="nl-NL"/>
              </w:rPr>
            </w:pPr>
            <w:bookmarkStart w:id="0" w:name="bookmark1"/>
            <w:r w:rsidRPr="00021530">
              <w:rPr>
                <w:b/>
                <w:sz w:val="26"/>
                <w:szCs w:val="26"/>
                <w:lang w:val="nl-NL"/>
              </w:rPr>
              <w:t>HỘI ĐỒNG NHÂN DÂN</w:t>
            </w:r>
          </w:p>
          <w:p w:rsidR="0004124C" w:rsidRPr="00021530" w:rsidRDefault="0004124C" w:rsidP="00727900">
            <w:pPr>
              <w:tabs>
                <w:tab w:val="center" w:pos="-5148"/>
              </w:tabs>
              <w:spacing w:before="60"/>
              <w:ind w:left="-108" w:right="-58"/>
              <w:jc w:val="center"/>
              <w:rPr>
                <w:b/>
                <w:sz w:val="26"/>
                <w:szCs w:val="26"/>
                <w:lang w:val="nl-NL"/>
              </w:rPr>
            </w:pPr>
            <w:r w:rsidRPr="00021530">
              <w:rPr>
                <w:b/>
                <w:sz w:val="26"/>
                <w:szCs w:val="26"/>
                <w:lang w:val="nl-NL"/>
              </w:rPr>
              <w:t>TỈNH BÀ RỊA – VŨNG TÀU</w:t>
            </w:r>
          </w:p>
          <w:p w:rsidR="0004124C" w:rsidRPr="00021530" w:rsidRDefault="0004124C" w:rsidP="00727900">
            <w:pPr>
              <w:tabs>
                <w:tab w:val="center" w:pos="-5148"/>
              </w:tabs>
              <w:ind w:left="-108" w:right="-58"/>
              <w:jc w:val="both"/>
              <w:rPr>
                <w:b/>
                <w:sz w:val="16"/>
                <w:szCs w:val="26"/>
                <w:lang w:val="nl-NL"/>
              </w:rPr>
            </w:pPr>
            <w:r w:rsidRPr="00021530">
              <w:rPr>
                <w:b/>
                <w:noProof/>
                <w:sz w:val="16"/>
                <w:szCs w:val="26"/>
              </w:rPr>
              <mc:AlternateContent>
                <mc:Choice Requires="wps">
                  <w:drawing>
                    <wp:anchor distT="0" distB="0" distL="114300" distR="114300" simplePos="0" relativeHeight="377490178" behindDoc="0" locked="0" layoutInCell="1" allowOverlap="1" wp14:anchorId="311B3C1E" wp14:editId="7CDE1B5E">
                      <wp:simplePos x="0" y="0"/>
                      <wp:positionH relativeFrom="column">
                        <wp:posOffset>655320</wp:posOffset>
                      </wp:positionH>
                      <wp:positionV relativeFrom="paragraph">
                        <wp:posOffset>30480</wp:posOffset>
                      </wp:positionV>
                      <wp:extent cx="1104265" cy="0"/>
                      <wp:effectExtent l="13335" t="5080" r="6350" b="1397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7937F" id="Line 22" o:spid="_x0000_s1026" style="position:absolute;z-index:377490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4pt" to="138.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5eEg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"/>
                  </w:pict>
                </mc:Fallback>
              </mc:AlternateContent>
            </w:r>
          </w:p>
          <w:p w:rsidR="0004124C" w:rsidRPr="00021530" w:rsidRDefault="0004124C" w:rsidP="00727900">
            <w:pPr>
              <w:tabs>
                <w:tab w:val="center" w:pos="-5148"/>
              </w:tabs>
              <w:spacing w:before="120"/>
              <w:ind w:left="-108" w:right="-58"/>
              <w:rPr>
                <w:sz w:val="26"/>
                <w:szCs w:val="26"/>
                <w:lang w:val="nl-NL"/>
              </w:rPr>
            </w:pPr>
            <w:r w:rsidRPr="00021530">
              <w:rPr>
                <w:sz w:val="26"/>
                <w:szCs w:val="26"/>
                <w:lang w:val="nl-NL"/>
              </w:rPr>
              <w:t xml:space="preserve">           Số:  </w:t>
            </w:r>
            <w:r>
              <w:rPr>
                <w:sz w:val="26"/>
                <w:szCs w:val="26"/>
                <w:lang w:val="nl-NL"/>
              </w:rPr>
              <w:t xml:space="preserve"> 11</w:t>
            </w:r>
            <w:r w:rsidRPr="00021530">
              <w:rPr>
                <w:sz w:val="26"/>
                <w:szCs w:val="26"/>
                <w:lang w:val="nl-NL"/>
              </w:rPr>
              <w:t>/2020/NQ-HĐND</w:t>
            </w:r>
          </w:p>
        </w:tc>
        <w:tc>
          <w:tcPr>
            <w:tcW w:w="5160" w:type="dxa"/>
            <w:shd w:val="clear" w:color="auto" w:fill="auto"/>
          </w:tcPr>
          <w:p w:rsidR="0004124C" w:rsidRPr="00021530" w:rsidRDefault="0004124C" w:rsidP="00727900">
            <w:pPr>
              <w:tabs>
                <w:tab w:val="center" w:pos="-9228"/>
                <w:tab w:val="center" w:pos="6720"/>
              </w:tabs>
              <w:spacing w:before="60"/>
              <w:ind w:left="-108" w:right="-58"/>
              <w:jc w:val="both"/>
              <w:rPr>
                <w:sz w:val="26"/>
                <w:lang w:val="nl-NL"/>
              </w:rPr>
            </w:pPr>
            <w:r w:rsidRPr="00021530">
              <w:rPr>
                <w:b/>
                <w:szCs w:val="26"/>
                <w:lang w:val="nl-NL"/>
              </w:rPr>
              <w:t>CỘNG HOÀ XÃ HỘI CHỦ NGHĨA VIỆT NAM</w:t>
            </w:r>
          </w:p>
          <w:p w:rsidR="0004124C" w:rsidRPr="00021530" w:rsidRDefault="0004124C" w:rsidP="00727900">
            <w:pPr>
              <w:spacing w:before="60"/>
              <w:ind w:left="43" w:right="-58" w:hanging="9"/>
              <w:jc w:val="center"/>
              <w:rPr>
                <w:b/>
                <w:sz w:val="26"/>
                <w:szCs w:val="26"/>
                <w:lang w:val="nl-NL"/>
              </w:rPr>
            </w:pPr>
            <w:r w:rsidRPr="00021530">
              <w:rPr>
                <w:b/>
                <w:sz w:val="26"/>
                <w:szCs w:val="26"/>
                <w:lang w:val="nl-NL"/>
              </w:rPr>
              <w:t>Độc lập - Tự do - Hạnh phúc</w:t>
            </w:r>
          </w:p>
          <w:p w:rsidR="0004124C" w:rsidRPr="00021530" w:rsidRDefault="0004124C" w:rsidP="00727900">
            <w:pPr>
              <w:tabs>
                <w:tab w:val="left" w:pos="-9108"/>
              </w:tabs>
              <w:ind w:left="-108" w:right="-58"/>
              <w:jc w:val="both"/>
              <w:rPr>
                <w:b/>
                <w:sz w:val="16"/>
                <w:szCs w:val="26"/>
                <w:lang w:val="nl-NL"/>
              </w:rPr>
            </w:pPr>
            <w:r w:rsidRPr="00021530">
              <w:rPr>
                <w:b/>
                <w:noProof/>
                <w:sz w:val="16"/>
                <w:szCs w:val="26"/>
              </w:rPr>
              <mc:AlternateContent>
                <mc:Choice Requires="wps">
                  <w:drawing>
                    <wp:anchor distT="0" distB="0" distL="114300" distR="114300" simplePos="0" relativeHeight="377489154" behindDoc="0" locked="0" layoutInCell="1" allowOverlap="1" wp14:anchorId="6FCCE87F" wp14:editId="23003A03">
                      <wp:simplePos x="0" y="0"/>
                      <wp:positionH relativeFrom="column">
                        <wp:posOffset>615315</wp:posOffset>
                      </wp:positionH>
                      <wp:positionV relativeFrom="paragraph">
                        <wp:posOffset>46990</wp:posOffset>
                      </wp:positionV>
                      <wp:extent cx="1981200" cy="0"/>
                      <wp:effectExtent l="6985" t="6985" r="12065" b="1206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725A0" id="Line 19" o:spid="_x0000_s1026" style="position:absolute;z-index:377489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3.7pt" to="204.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ia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"/>
                  </w:pict>
                </mc:Fallback>
              </mc:AlternateContent>
            </w:r>
          </w:p>
          <w:p w:rsidR="0004124C" w:rsidRPr="00021530" w:rsidRDefault="0004124C" w:rsidP="00727900">
            <w:pPr>
              <w:spacing w:before="120"/>
              <w:ind w:left="-108" w:right="-58"/>
              <w:jc w:val="both"/>
              <w:rPr>
                <w:sz w:val="26"/>
                <w:lang w:val="nl-NL"/>
              </w:rPr>
            </w:pPr>
            <w:r w:rsidRPr="00021530">
              <w:rPr>
                <w:i/>
                <w:sz w:val="26"/>
                <w:szCs w:val="26"/>
                <w:lang w:val="nl-NL"/>
              </w:rPr>
              <w:t xml:space="preserve">Bà Rịa - </w:t>
            </w:r>
            <w:r>
              <w:rPr>
                <w:i/>
                <w:sz w:val="26"/>
                <w:szCs w:val="26"/>
                <w:lang w:val="nl-NL"/>
              </w:rPr>
              <w:t>Vũng Tàu, ngày 13</w:t>
            </w:r>
            <w:r>
              <w:rPr>
                <w:i/>
                <w:sz w:val="26"/>
                <w:szCs w:val="26"/>
                <w:lang w:val="nl-NL"/>
              </w:rPr>
              <w:t xml:space="preserve"> </w:t>
            </w:r>
            <w:r w:rsidRPr="00021530">
              <w:rPr>
                <w:i/>
                <w:sz w:val="26"/>
                <w:szCs w:val="26"/>
                <w:lang w:val="nl-NL"/>
              </w:rPr>
              <w:t xml:space="preserve">tháng </w:t>
            </w:r>
            <w:r>
              <w:rPr>
                <w:i/>
                <w:sz w:val="26"/>
                <w:szCs w:val="26"/>
                <w:lang w:val="nl-NL"/>
              </w:rPr>
              <w:t>12</w:t>
            </w:r>
            <w:r>
              <w:rPr>
                <w:i/>
                <w:sz w:val="26"/>
                <w:szCs w:val="26"/>
                <w:lang w:val="nl-NL"/>
              </w:rPr>
              <w:t xml:space="preserve"> </w:t>
            </w:r>
            <w:r w:rsidRPr="00021530">
              <w:rPr>
                <w:i/>
                <w:sz w:val="26"/>
                <w:szCs w:val="26"/>
                <w:lang w:val="nl-NL"/>
              </w:rPr>
              <w:t xml:space="preserve"> năm 2020</w:t>
            </w:r>
          </w:p>
        </w:tc>
      </w:tr>
    </w:tbl>
    <w:p w:rsidR="0004124C" w:rsidRDefault="0004124C">
      <w:pPr>
        <w:pStyle w:val="Heading10"/>
        <w:keepNext/>
        <w:keepLines/>
        <w:shd w:val="clear" w:color="auto" w:fill="auto"/>
        <w:spacing w:after="0" w:line="318" w:lineRule="exact"/>
        <w:ind w:left="60"/>
      </w:pPr>
    </w:p>
    <w:p w:rsidR="0004124C" w:rsidRPr="0004124C" w:rsidRDefault="0004124C" w:rsidP="0004124C">
      <w:pPr>
        <w:widowControl/>
        <w:tabs>
          <w:tab w:val="center" w:pos="-3120"/>
        </w:tabs>
        <w:spacing w:before="240"/>
        <w:ind w:right="-57"/>
        <w:jc w:val="center"/>
        <w:rPr>
          <w:b/>
          <w:color w:val="auto"/>
          <w:sz w:val="28"/>
          <w:szCs w:val="28"/>
          <w:lang w:val="nl-NL" w:eastAsia="en-US" w:bidi="ar-SA"/>
        </w:rPr>
      </w:pPr>
      <w:r w:rsidRPr="0004124C">
        <w:rPr>
          <w:b/>
          <w:color w:val="auto"/>
          <w:sz w:val="28"/>
          <w:szCs w:val="28"/>
          <w:lang w:val="nl-NL" w:eastAsia="en-US" w:bidi="ar-SA"/>
        </w:rPr>
        <w:t>NGHỊ QUYẾT</w:t>
      </w:r>
    </w:p>
    <w:p w:rsidR="0004124C" w:rsidRDefault="0004124C" w:rsidP="0004124C">
      <w:pPr>
        <w:widowControl/>
        <w:tabs>
          <w:tab w:val="left" w:pos="-3480"/>
          <w:tab w:val="center" w:pos="-3120"/>
        </w:tabs>
        <w:ind w:right="-58"/>
        <w:jc w:val="center"/>
        <w:rPr>
          <w:b/>
          <w:color w:val="auto"/>
          <w:sz w:val="28"/>
          <w:szCs w:val="28"/>
          <w:lang w:val="nl-NL" w:eastAsia="en-US" w:bidi="ar-SA"/>
        </w:rPr>
      </w:pPr>
      <w:r w:rsidRPr="0004124C">
        <w:rPr>
          <w:b/>
          <w:color w:val="auto"/>
          <w:sz w:val="28"/>
          <w:szCs w:val="28"/>
          <w:lang w:val="nl-NL" w:eastAsia="en-US" w:bidi="ar-SA"/>
        </w:rPr>
        <w:t>Quy định mức chi tiền thưởng tại các giải thi đấu thế thao</w:t>
      </w:r>
      <w:r>
        <w:rPr>
          <w:b/>
          <w:color w:val="auto"/>
          <w:sz w:val="28"/>
          <w:szCs w:val="28"/>
          <w:lang w:val="nl-NL" w:eastAsia="en-US" w:bidi="ar-SA"/>
        </w:rPr>
        <w:t xml:space="preserve"> </w:t>
      </w:r>
    </w:p>
    <w:p w:rsidR="0004124C" w:rsidRPr="0004124C" w:rsidRDefault="0004124C" w:rsidP="0004124C">
      <w:pPr>
        <w:widowControl/>
        <w:tabs>
          <w:tab w:val="left" w:pos="-3480"/>
          <w:tab w:val="center" w:pos="-3120"/>
        </w:tabs>
        <w:ind w:right="-58"/>
        <w:jc w:val="center"/>
        <w:rPr>
          <w:b/>
          <w:color w:val="auto"/>
          <w:sz w:val="12"/>
          <w:szCs w:val="28"/>
          <w:lang w:val="nl-NL" w:eastAsia="en-US" w:bidi="ar-SA"/>
        </w:rPr>
      </w:pPr>
      <w:r>
        <w:rPr>
          <w:b/>
          <w:color w:val="auto"/>
          <w:sz w:val="28"/>
          <w:szCs w:val="28"/>
          <w:lang w:val="nl-NL" w:eastAsia="en-US" w:bidi="ar-SA"/>
        </w:rPr>
        <w:t>trên địa bàn tỉnh Bà Rịa – Vũng Tàu</w:t>
      </w:r>
      <w:r w:rsidRPr="0004124C">
        <w:rPr>
          <w:b/>
          <w:color w:val="auto"/>
          <w:sz w:val="28"/>
          <w:szCs w:val="28"/>
          <w:lang w:val="nl-NL" w:eastAsia="en-US" w:bidi="ar-SA"/>
        </w:rPr>
        <w:t xml:space="preserve"> </w:t>
      </w:r>
    </w:p>
    <w:p w:rsidR="0004124C" w:rsidRDefault="0004124C" w:rsidP="0004124C">
      <w:pPr>
        <w:pStyle w:val="Heading10"/>
        <w:keepNext/>
        <w:keepLines/>
        <w:shd w:val="clear" w:color="auto" w:fill="auto"/>
        <w:spacing w:after="0" w:line="318" w:lineRule="exact"/>
        <w:ind w:left="60"/>
        <w:rPr>
          <w:sz w:val="16"/>
          <w:szCs w:val="16"/>
          <w:lang w:val="en-US"/>
        </w:rPr>
      </w:pPr>
      <w:r w:rsidRPr="0004124C">
        <w:rPr>
          <w:sz w:val="16"/>
          <w:szCs w:val="16"/>
          <w:lang w:val="en-US"/>
        </w:rPr>
        <w:t>__________________________________</w:t>
      </w:r>
      <w:bookmarkEnd w:id="0"/>
    </w:p>
    <w:p w:rsidR="0004124C" w:rsidRPr="0004124C" w:rsidRDefault="0004124C" w:rsidP="0004124C">
      <w:pPr>
        <w:pStyle w:val="Heading10"/>
        <w:keepNext/>
        <w:keepLines/>
        <w:shd w:val="clear" w:color="auto" w:fill="auto"/>
        <w:spacing w:after="0" w:line="318" w:lineRule="exact"/>
        <w:ind w:left="60"/>
        <w:rPr>
          <w:sz w:val="16"/>
          <w:szCs w:val="16"/>
          <w:lang w:val="en-US"/>
        </w:rPr>
      </w:pPr>
    </w:p>
    <w:p w:rsidR="00FC1E58" w:rsidRDefault="00503BB6">
      <w:pPr>
        <w:pStyle w:val="Heading10"/>
        <w:keepNext/>
        <w:keepLines/>
        <w:shd w:val="clear" w:color="auto" w:fill="auto"/>
        <w:spacing w:after="389" w:line="324" w:lineRule="exact"/>
        <w:ind w:left="60"/>
      </w:pPr>
      <w:bookmarkStart w:id="1" w:name="bookmark3"/>
      <w:r>
        <w:t xml:space="preserve">HỘI ĐÒNG NHÂN DÂN TỈNH BÀ RỊA - </w:t>
      </w:r>
      <w:r w:rsidR="0004124C">
        <w:t>VŨNG TÀU</w:t>
      </w:r>
      <w:r w:rsidR="0004124C">
        <w:br/>
        <w:t>KHÓA VI, KỲ HQP THỨ M</w:t>
      </w:r>
      <w:r w:rsidR="0004124C">
        <w:rPr>
          <w:lang w:val="en-US"/>
        </w:rPr>
        <w:t>ƯỜ</w:t>
      </w:r>
      <w:r>
        <w:t>I CHÍN</w:t>
      </w:r>
      <w:bookmarkEnd w:id="1"/>
    </w:p>
    <w:p w:rsidR="00FC1E58" w:rsidRPr="00C859E3" w:rsidRDefault="00503BB6" w:rsidP="0004124C">
      <w:pPr>
        <w:pStyle w:val="Bodytext30"/>
        <w:shd w:val="clear" w:color="auto" w:fill="auto"/>
        <w:spacing w:before="0" w:after="47"/>
        <w:ind w:firstLine="709"/>
        <w:jc w:val="both"/>
        <w:rPr>
          <w:sz w:val="28"/>
          <w:szCs w:val="28"/>
        </w:rPr>
      </w:pPr>
      <w:r w:rsidRPr="00C859E3">
        <w:rPr>
          <w:sz w:val="28"/>
          <w:szCs w:val="28"/>
        </w:rPr>
        <w:t>Căn cứ Luật Tổ chức chính quyền địa phương ngày 19 tháng 6 năm 2015;</w:t>
      </w:r>
    </w:p>
    <w:p w:rsidR="00FC1E58" w:rsidRPr="00C859E3" w:rsidRDefault="00503BB6" w:rsidP="0004124C">
      <w:pPr>
        <w:pStyle w:val="Bodytext30"/>
        <w:shd w:val="clear" w:color="auto" w:fill="auto"/>
        <w:spacing w:before="0" w:after="153" w:line="354" w:lineRule="exact"/>
        <w:ind w:firstLine="709"/>
        <w:jc w:val="both"/>
        <w:rPr>
          <w:sz w:val="28"/>
          <w:szCs w:val="28"/>
        </w:rPr>
      </w:pPr>
      <w:r w:rsidRPr="00C859E3">
        <w:rPr>
          <w:sz w:val="28"/>
          <w:szCs w:val="28"/>
        </w:rPr>
        <w:t>Căn cứ Luật sửa đổi, bổ sung một số điều của Luật Tổ chức Chính phủ và Luật Tổ chức chính quyền địa phương ngày 22 tháng 11 năm 2019;</w:t>
      </w:r>
    </w:p>
    <w:p w:rsidR="00FC1E58" w:rsidRPr="00C859E3" w:rsidRDefault="00503BB6" w:rsidP="0004124C">
      <w:pPr>
        <w:pStyle w:val="Bodytext30"/>
        <w:shd w:val="clear" w:color="auto" w:fill="auto"/>
        <w:spacing w:before="0" w:after="47"/>
        <w:ind w:firstLine="709"/>
        <w:jc w:val="both"/>
        <w:rPr>
          <w:sz w:val="28"/>
          <w:szCs w:val="28"/>
        </w:rPr>
      </w:pPr>
      <w:r w:rsidRPr="00C859E3">
        <w:rPr>
          <w:sz w:val="28"/>
          <w:szCs w:val="28"/>
        </w:rPr>
        <w:t>Căn cứ Luật Ngân sách nhà nước ngày 25 tháng 6 năm 2015;</w:t>
      </w:r>
    </w:p>
    <w:p w:rsidR="00FC1E58" w:rsidRPr="00C859E3" w:rsidRDefault="00503BB6" w:rsidP="0004124C">
      <w:pPr>
        <w:pStyle w:val="Bodytext30"/>
        <w:shd w:val="clear" w:color="auto" w:fill="auto"/>
        <w:spacing w:before="0" w:after="100" w:line="354" w:lineRule="exact"/>
        <w:ind w:firstLine="709"/>
        <w:jc w:val="both"/>
        <w:rPr>
          <w:sz w:val="28"/>
          <w:szCs w:val="28"/>
        </w:rPr>
      </w:pPr>
      <w:r w:rsidRPr="00C859E3">
        <w:rPr>
          <w:sz w:val="28"/>
          <w:szCs w:val="28"/>
        </w:rPr>
        <w:t>Căn cứ Nghị định sổ 163/NĐ-CP ngày 21 tháng 12 năm 2016 của Chính phủ quy định chỉ tiết thi hành một số điều của Luật Ngân sách nhà nước;</w:t>
      </w:r>
    </w:p>
    <w:p w:rsidR="00FC1E58" w:rsidRPr="00C859E3" w:rsidRDefault="00503BB6" w:rsidP="0004124C">
      <w:pPr>
        <w:pStyle w:val="Bodytext30"/>
        <w:shd w:val="clear" w:color="auto" w:fill="auto"/>
        <w:spacing w:before="0" w:after="413" w:line="354" w:lineRule="exact"/>
        <w:ind w:firstLine="709"/>
        <w:jc w:val="both"/>
        <w:rPr>
          <w:sz w:val="28"/>
          <w:szCs w:val="28"/>
        </w:rPr>
      </w:pPr>
      <w:r w:rsidRPr="00C859E3">
        <w:rPr>
          <w:sz w:val="28"/>
          <w:szCs w:val="28"/>
        </w:rPr>
        <w:t xml:space="preserve">Xét Tờ trình sổ 238/TTr-UBND ngày 27 tháng 11 năm </w:t>
      </w:r>
      <w:r w:rsidR="0004124C" w:rsidRPr="00C859E3">
        <w:rPr>
          <w:sz w:val="28"/>
          <w:szCs w:val="28"/>
        </w:rPr>
        <w:t>2020 của ủy ban nhân dân tỉnh v</w:t>
      </w:r>
      <w:r w:rsidR="0004124C" w:rsidRPr="00C859E3">
        <w:rPr>
          <w:sz w:val="28"/>
          <w:szCs w:val="28"/>
          <w:lang w:val="en-US"/>
        </w:rPr>
        <w:t>ề</w:t>
      </w:r>
      <w:r w:rsidRPr="00C859E3">
        <w:rPr>
          <w:sz w:val="28"/>
          <w:szCs w:val="28"/>
        </w:rPr>
        <w:t xml:space="preserve"> dự thảo Nghị quyết quy định mức </w:t>
      </w:r>
      <w:r w:rsidR="0004124C" w:rsidRPr="00C859E3">
        <w:rPr>
          <w:sz w:val="28"/>
          <w:szCs w:val="28"/>
        </w:rPr>
        <w:t>chi tiền thưởng tại các giải thi</w:t>
      </w:r>
      <w:r w:rsidRPr="00C859E3">
        <w:rPr>
          <w:sz w:val="28"/>
          <w:szCs w:val="28"/>
        </w:rPr>
        <w:t xml:space="preserve"> đấu thể thao trên địa bàn tỉn</w:t>
      </w:r>
      <w:r w:rsidR="0004124C" w:rsidRPr="00C859E3">
        <w:rPr>
          <w:sz w:val="28"/>
          <w:szCs w:val="28"/>
        </w:rPr>
        <w:t>h Bà Rịa - Vũng Tàu; Báo cáo thẩ</w:t>
      </w:r>
      <w:r w:rsidRPr="00C859E3">
        <w:rPr>
          <w:sz w:val="28"/>
          <w:szCs w:val="28"/>
        </w:rPr>
        <w:t xml:space="preserve">m tra số 184/BC- VHXH ngày 30 tháng 11 năm 2020 của Ban Văn hóa - </w:t>
      </w:r>
      <w:r w:rsidR="0004124C" w:rsidRPr="00C859E3">
        <w:rPr>
          <w:sz w:val="28"/>
          <w:szCs w:val="28"/>
        </w:rPr>
        <w:t>Xã hội Hội đồng nhản dân tỉnh; ý kiến thảo luận của đại biể</w:t>
      </w:r>
      <w:r w:rsidRPr="00C859E3">
        <w:rPr>
          <w:sz w:val="28"/>
          <w:szCs w:val="28"/>
        </w:rPr>
        <w:t>u Hội đồng nhân dân tại kỳ họp.</w:t>
      </w:r>
    </w:p>
    <w:p w:rsidR="00FC1E58" w:rsidRDefault="00503BB6">
      <w:pPr>
        <w:pStyle w:val="Heading10"/>
        <w:keepNext/>
        <w:keepLines/>
        <w:shd w:val="clear" w:color="auto" w:fill="auto"/>
        <w:spacing w:line="288" w:lineRule="exact"/>
        <w:ind w:left="60"/>
      </w:pPr>
      <w:bookmarkStart w:id="2" w:name="bookmark4"/>
      <w:r>
        <w:t>QUYẾT NGHỊ:</w:t>
      </w:r>
      <w:bookmarkEnd w:id="2"/>
    </w:p>
    <w:p w:rsidR="00FC1E58" w:rsidRPr="00C859E3" w:rsidRDefault="00503BB6" w:rsidP="00C859E3">
      <w:pPr>
        <w:pStyle w:val="Heading10"/>
        <w:keepNext/>
        <w:keepLines/>
        <w:shd w:val="clear" w:color="auto" w:fill="auto"/>
        <w:spacing w:before="120" w:after="120" w:line="240" w:lineRule="auto"/>
        <w:ind w:firstLine="567"/>
        <w:jc w:val="both"/>
        <w:rPr>
          <w:sz w:val="28"/>
          <w:szCs w:val="28"/>
        </w:rPr>
      </w:pPr>
      <w:bookmarkStart w:id="3" w:name="bookmark5"/>
      <w:r w:rsidRPr="00C859E3">
        <w:rPr>
          <w:sz w:val="28"/>
          <w:szCs w:val="28"/>
        </w:rPr>
        <w:t>Điều 1. Phạm vi điều chỉnh và đối tượng áp dụng</w:t>
      </w:r>
      <w:bookmarkEnd w:id="3"/>
    </w:p>
    <w:p w:rsidR="00FC1E58" w:rsidRPr="00C859E3" w:rsidRDefault="0004124C" w:rsidP="00C859E3">
      <w:pPr>
        <w:pStyle w:val="Bodytext20"/>
        <w:shd w:val="clear" w:color="auto" w:fill="auto"/>
        <w:tabs>
          <w:tab w:val="left" w:pos="1116"/>
        </w:tabs>
        <w:spacing w:before="120" w:after="120" w:line="240" w:lineRule="auto"/>
        <w:ind w:firstLine="567"/>
        <w:rPr>
          <w:sz w:val="28"/>
          <w:szCs w:val="28"/>
        </w:rPr>
      </w:pPr>
      <w:r w:rsidRPr="00C859E3">
        <w:rPr>
          <w:sz w:val="28"/>
          <w:szCs w:val="28"/>
          <w:lang w:val="en-US"/>
        </w:rPr>
        <w:t xml:space="preserve">1. </w:t>
      </w:r>
      <w:r w:rsidR="00503BB6" w:rsidRPr="00C859E3">
        <w:rPr>
          <w:sz w:val="28"/>
          <w:szCs w:val="28"/>
        </w:rPr>
        <w:t>Phạm vi điều chỉnh</w:t>
      </w:r>
    </w:p>
    <w:p w:rsidR="00FC1E58" w:rsidRPr="00C859E3" w:rsidRDefault="00503BB6" w:rsidP="00C859E3">
      <w:pPr>
        <w:pStyle w:val="Bodytext20"/>
        <w:shd w:val="clear" w:color="auto" w:fill="auto"/>
        <w:spacing w:before="120" w:after="120" w:line="240" w:lineRule="auto"/>
        <w:ind w:firstLine="567"/>
        <w:rPr>
          <w:sz w:val="28"/>
          <w:szCs w:val="28"/>
        </w:rPr>
      </w:pPr>
      <w:r w:rsidRPr="00C859E3">
        <w:rPr>
          <w:sz w:val="28"/>
          <w:szCs w:val="28"/>
        </w:rPr>
        <w:t>Nghị quyết này quy định mức chi tiền thưởng tại các giải thi đấu thể thao trên địa bàn tỉnh Bà Rịa - Vũng Tàu.</w:t>
      </w:r>
    </w:p>
    <w:p w:rsidR="00FC1E58" w:rsidRPr="00C859E3" w:rsidRDefault="0004124C" w:rsidP="00C859E3">
      <w:pPr>
        <w:pStyle w:val="Bodytext20"/>
        <w:shd w:val="clear" w:color="auto" w:fill="auto"/>
        <w:tabs>
          <w:tab w:val="left" w:pos="1146"/>
        </w:tabs>
        <w:spacing w:before="120" w:after="120" w:line="240" w:lineRule="auto"/>
        <w:ind w:firstLine="567"/>
        <w:rPr>
          <w:sz w:val="28"/>
          <w:szCs w:val="28"/>
        </w:rPr>
      </w:pPr>
      <w:r w:rsidRPr="00C859E3">
        <w:rPr>
          <w:sz w:val="28"/>
          <w:szCs w:val="28"/>
          <w:lang w:val="en-US"/>
        </w:rPr>
        <w:t xml:space="preserve">2. </w:t>
      </w:r>
      <w:r w:rsidR="00503BB6" w:rsidRPr="00C859E3">
        <w:rPr>
          <w:sz w:val="28"/>
          <w:szCs w:val="28"/>
        </w:rPr>
        <w:t>Đối tượng áp dụng</w:t>
      </w:r>
    </w:p>
    <w:p w:rsidR="00FC1E58" w:rsidRPr="00C859E3" w:rsidRDefault="00503BB6" w:rsidP="00C859E3">
      <w:pPr>
        <w:pStyle w:val="Bodytext20"/>
        <w:shd w:val="clear" w:color="auto" w:fill="auto"/>
        <w:spacing w:before="120" w:after="120" w:line="240" w:lineRule="auto"/>
        <w:ind w:firstLine="567"/>
        <w:rPr>
          <w:sz w:val="28"/>
          <w:szCs w:val="28"/>
        </w:rPr>
      </w:pPr>
      <w:r w:rsidRPr="00C859E3">
        <w:rPr>
          <w:sz w:val="28"/>
          <w:szCs w:val="28"/>
        </w:rPr>
        <w:t>Vận động viên đạt thành tích tại các giải thi đấu thể thao do tỉnh Bà Rịa - Vũng Tàu tổ chức (sau đây gọi chung là cấp tỉnh); do huyện, thị xã, thành phố (sau đây gọi chung là cấp huyện) và do xã, phường, thị trấn (sau đây gọi chung là cấp xã) trực thuộc tỉnh tổ chức.</w:t>
      </w:r>
    </w:p>
    <w:p w:rsidR="00FC1E58" w:rsidRPr="00C859E3" w:rsidRDefault="00503BB6" w:rsidP="00C859E3">
      <w:pPr>
        <w:pStyle w:val="Bodytext40"/>
        <w:shd w:val="clear" w:color="auto" w:fill="auto"/>
        <w:spacing w:before="120" w:after="120" w:line="240" w:lineRule="auto"/>
        <w:ind w:firstLine="567"/>
        <w:rPr>
          <w:sz w:val="28"/>
          <w:szCs w:val="28"/>
        </w:rPr>
      </w:pPr>
      <w:r w:rsidRPr="00C859E3">
        <w:rPr>
          <w:sz w:val="28"/>
          <w:szCs w:val="28"/>
        </w:rPr>
        <w:t>Điều 2. Nguồn kinh phí thực hiện</w:t>
      </w:r>
    </w:p>
    <w:p w:rsidR="00FC1E58" w:rsidRPr="00C859E3" w:rsidRDefault="0004124C" w:rsidP="00C859E3">
      <w:pPr>
        <w:pStyle w:val="Bodytext20"/>
        <w:shd w:val="clear" w:color="auto" w:fill="auto"/>
        <w:tabs>
          <w:tab w:val="left" w:pos="1094"/>
        </w:tabs>
        <w:spacing w:before="120" w:after="120" w:line="240" w:lineRule="auto"/>
        <w:ind w:firstLine="567"/>
        <w:rPr>
          <w:sz w:val="28"/>
          <w:szCs w:val="28"/>
        </w:rPr>
      </w:pPr>
      <w:r w:rsidRPr="00C859E3">
        <w:rPr>
          <w:sz w:val="28"/>
          <w:szCs w:val="28"/>
          <w:lang w:val="en-US"/>
        </w:rPr>
        <w:t xml:space="preserve">1. </w:t>
      </w:r>
      <w:r w:rsidR="00503BB6" w:rsidRPr="00C859E3">
        <w:rPr>
          <w:sz w:val="28"/>
          <w:szCs w:val="28"/>
        </w:rPr>
        <w:t>Ngân sách Nhà nước theo quy định về phân cấp ngân sách Nhà nước hiện hành.</w:t>
      </w:r>
      <w:r w:rsidR="00503BB6" w:rsidRPr="00C859E3">
        <w:rPr>
          <w:sz w:val="28"/>
          <w:szCs w:val="28"/>
        </w:rPr>
        <w:br w:type="page"/>
      </w:r>
    </w:p>
    <w:p w:rsidR="00FC1E58" w:rsidRPr="00C859E3" w:rsidRDefault="004C4589" w:rsidP="004C4589">
      <w:pPr>
        <w:pStyle w:val="Bodytext20"/>
        <w:shd w:val="clear" w:color="auto" w:fill="auto"/>
        <w:tabs>
          <w:tab w:val="left" w:pos="709"/>
        </w:tabs>
        <w:spacing w:before="120" w:after="120" w:line="240" w:lineRule="auto"/>
        <w:rPr>
          <w:sz w:val="28"/>
          <w:szCs w:val="28"/>
        </w:rPr>
      </w:pPr>
      <w:r>
        <w:rPr>
          <w:sz w:val="28"/>
          <w:szCs w:val="28"/>
        </w:rPr>
        <w:tab/>
      </w:r>
      <w:r>
        <w:rPr>
          <w:sz w:val="28"/>
          <w:szCs w:val="28"/>
          <w:lang w:val="en-US"/>
        </w:rPr>
        <w:t xml:space="preserve">2. </w:t>
      </w:r>
      <w:r w:rsidR="00503BB6" w:rsidRPr="00C859E3">
        <w:rPr>
          <w:sz w:val="28"/>
          <w:szCs w:val="28"/>
        </w:rPr>
        <w:t>Khuyến khích các Liên đoàn, Hiệp hội thể thao tỉnh, các đon vị quản lý, sử dụng huấn luy</w:t>
      </w:r>
      <w:r w:rsidR="0004124C" w:rsidRPr="00C859E3">
        <w:rPr>
          <w:sz w:val="28"/>
          <w:szCs w:val="28"/>
        </w:rPr>
        <w:t>ện viên, vận động viên và các tổ</w:t>
      </w:r>
      <w:r w:rsidR="00503BB6" w:rsidRPr="00C859E3">
        <w:rPr>
          <w:sz w:val="28"/>
          <w:szCs w:val="28"/>
        </w:rPr>
        <w:t xml:space="preserve"> chức khác có liên quan khai thác các nguồn thu </w:t>
      </w:r>
      <w:r w:rsidR="0004124C" w:rsidRPr="00C859E3">
        <w:rPr>
          <w:sz w:val="28"/>
          <w:szCs w:val="28"/>
          <w:lang w:val="en-US"/>
        </w:rPr>
        <w:t xml:space="preserve">hợp </w:t>
      </w:r>
      <w:r w:rsidR="00503BB6" w:rsidRPr="00C859E3">
        <w:rPr>
          <w:sz w:val="28"/>
          <w:szCs w:val="28"/>
        </w:rPr>
        <w:t>pháp khác để bổ sung thêm tiền thưởng cho huấn luyện viên, vận động viên thể thao.</w:t>
      </w:r>
    </w:p>
    <w:p w:rsidR="00FC1E58" w:rsidRPr="00C859E3" w:rsidRDefault="00503BB6" w:rsidP="00C859E3">
      <w:pPr>
        <w:pStyle w:val="Bodytext40"/>
        <w:shd w:val="clear" w:color="auto" w:fill="auto"/>
        <w:spacing w:before="120" w:after="120" w:line="240" w:lineRule="auto"/>
        <w:ind w:firstLine="567"/>
        <w:rPr>
          <w:sz w:val="28"/>
          <w:szCs w:val="28"/>
        </w:rPr>
      </w:pPr>
      <w:r w:rsidRPr="00C859E3">
        <w:rPr>
          <w:sz w:val="28"/>
          <w:szCs w:val="28"/>
        </w:rPr>
        <w:t>Điều 3. Mức chi tiền thưởng tại các giải thi đấu thể thao cấp tỉnh, cấp huyện và cấp xã</w:t>
      </w:r>
    </w:p>
    <w:p w:rsidR="00FC1E58" w:rsidRPr="00C859E3" w:rsidRDefault="0004124C" w:rsidP="00C859E3">
      <w:pPr>
        <w:pStyle w:val="Bodytext20"/>
        <w:shd w:val="clear" w:color="auto" w:fill="auto"/>
        <w:tabs>
          <w:tab w:val="left" w:pos="1086"/>
        </w:tabs>
        <w:spacing w:before="120" w:after="120" w:line="240" w:lineRule="auto"/>
        <w:ind w:firstLine="567"/>
        <w:rPr>
          <w:sz w:val="28"/>
          <w:szCs w:val="28"/>
        </w:rPr>
      </w:pPr>
      <w:r w:rsidRPr="00C859E3">
        <w:rPr>
          <w:sz w:val="28"/>
          <w:szCs w:val="28"/>
          <w:lang w:val="en-US"/>
        </w:rPr>
        <w:t xml:space="preserve">1. </w:t>
      </w:r>
      <w:r w:rsidR="00503BB6" w:rsidRPr="00C859E3">
        <w:rPr>
          <w:sz w:val="28"/>
          <w:szCs w:val="28"/>
        </w:rPr>
        <w:t>Mức chi tiền thưởng đối với vận động viên tại các Đại hội thể thao cấp tỉnh, giải Vô địch thể thao cấp tỉnh từng môn, giải thể thao tỉnh mở rộng:</w:t>
      </w:r>
    </w:p>
    <w:p w:rsidR="00FC1E58" w:rsidRPr="00C859E3" w:rsidRDefault="0004124C"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00C859E3" w:rsidRPr="00C859E3">
        <w:rPr>
          <w:sz w:val="28"/>
          <w:szCs w:val="28"/>
        </w:rPr>
        <w:tab/>
      </w:r>
      <w:r w:rsidRPr="00C859E3">
        <w:rPr>
          <w:sz w:val="28"/>
          <w:szCs w:val="28"/>
          <w:lang w:val="en-US"/>
        </w:rPr>
        <w:t xml:space="preserve">a) </w:t>
      </w:r>
      <w:r w:rsidR="00503BB6" w:rsidRPr="00C859E3">
        <w:rPr>
          <w:sz w:val="28"/>
          <w:szCs w:val="28"/>
        </w:rPr>
        <w:t>Huy chương vàng: 3.000.000 đồng (Ba triệu đồng);</w:t>
      </w:r>
    </w:p>
    <w:p w:rsidR="00FC1E58" w:rsidRPr="00C859E3" w:rsidRDefault="0004124C" w:rsidP="00C859E3">
      <w:pPr>
        <w:pStyle w:val="Bodytext20"/>
        <w:shd w:val="clear" w:color="auto" w:fill="auto"/>
        <w:tabs>
          <w:tab w:val="left" w:pos="1156"/>
        </w:tabs>
        <w:spacing w:before="120" w:after="120" w:line="240" w:lineRule="auto"/>
        <w:ind w:firstLine="567"/>
        <w:rPr>
          <w:sz w:val="28"/>
          <w:szCs w:val="28"/>
        </w:rPr>
      </w:pPr>
      <w:r w:rsidRPr="00C859E3">
        <w:rPr>
          <w:sz w:val="28"/>
          <w:szCs w:val="28"/>
          <w:lang w:val="en-US"/>
        </w:rPr>
        <w:t xml:space="preserve">b) </w:t>
      </w:r>
      <w:r w:rsidR="00503BB6" w:rsidRPr="00C859E3">
        <w:rPr>
          <w:sz w:val="28"/>
          <w:szCs w:val="28"/>
        </w:rPr>
        <w:t>Huy chương bạc: 2.000.000 đồng (Hai triệu đồng);</w:t>
      </w:r>
    </w:p>
    <w:p w:rsidR="00FC1E58" w:rsidRPr="00C859E3" w:rsidRDefault="0004124C" w:rsidP="00C859E3">
      <w:pPr>
        <w:pStyle w:val="Bodytext20"/>
        <w:shd w:val="clear" w:color="auto" w:fill="auto"/>
        <w:tabs>
          <w:tab w:val="left" w:pos="1156"/>
        </w:tabs>
        <w:spacing w:before="120" w:after="120" w:line="240" w:lineRule="auto"/>
        <w:ind w:firstLine="567"/>
        <w:rPr>
          <w:sz w:val="28"/>
          <w:szCs w:val="28"/>
        </w:rPr>
      </w:pPr>
      <w:r w:rsidRPr="00C859E3">
        <w:rPr>
          <w:sz w:val="28"/>
          <w:szCs w:val="28"/>
          <w:lang w:val="en-US"/>
        </w:rPr>
        <w:t xml:space="preserve">c) </w:t>
      </w:r>
      <w:r w:rsidR="00503BB6" w:rsidRPr="00C859E3">
        <w:rPr>
          <w:sz w:val="28"/>
          <w:szCs w:val="28"/>
        </w:rPr>
        <w:t>Huy chương đồng: 1.000.000 đồng (Một triệu đồng).</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Pr="00C859E3">
        <w:rPr>
          <w:sz w:val="28"/>
          <w:szCs w:val="28"/>
          <w:lang w:val="en-US"/>
        </w:rPr>
        <w:t xml:space="preserve">2. </w:t>
      </w:r>
      <w:r w:rsidR="00503BB6" w:rsidRPr="00C859E3">
        <w:rPr>
          <w:sz w:val="28"/>
          <w:szCs w:val="28"/>
        </w:rPr>
        <w:t>Mức chi tiền thưởng đối với vận động viên lập thành tích tại các giải vô địch trẻ, lứa tuổi thể thao cấp tỉnh, giải vô địch các câu lạc bộ cấp tỉnh từng môn: mức thưởng bằng 50% mức thưởng tại khoản 1 Điều này.</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lang w:val="en-US"/>
        </w:rPr>
        <w:t xml:space="preserve">3. </w:t>
      </w:r>
      <w:r w:rsidR="00503BB6" w:rsidRPr="00C859E3">
        <w:rPr>
          <w:sz w:val="28"/>
          <w:szCs w:val="28"/>
        </w:rPr>
        <w:t>Mức chi tiền thường đối với vận động viên lập thành tích tại các hội thi, hội thao quần chúng cấp tỉnh và các giải thi đấu thể thao cấp huyện được hưởng mức thưởng bằng 50% mức thưởng tại khoản 1 Điều này.</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lang w:val="en-US"/>
        </w:rPr>
        <w:t xml:space="preserve">4. </w:t>
      </w:r>
      <w:r w:rsidR="00503BB6" w:rsidRPr="00C859E3">
        <w:rPr>
          <w:sz w:val="28"/>
          <w:szCs w:val="28"/>
        </w:rPr>
        <w:t>Mức chi tiền thưởng đối với vận động viên lập thành tích tại các giải thi đấu thể thao cấp xã được hưởng mức thưởng bằng 50% mức thưởng tương ứng dành cho các giải thi đấu thể thao cấp huyện.</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lang w:val="en-US"/>
        </w:rPr>
        <w:t xml:space="preserve">5. </w:t>
      </w:r>
      <w:r w:rsidR="00503BB6" w:rsidRPr="00C859E3">
        <w:rPr>
          <w:sz w:val="28"/>
          <w:szCs w:val="28"/>
        </w:rPr>
        <w:t>Mức thưởng đối với vận động viên lập thành tích tại các giải thể thao dành cho học sinh, sinh viên cấp tỉnh được thưởng bằng 30% mức thưởng tương ứng tại khoản 1 Điều này.</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Pr="00C859E3">
        <w:rPr>
          <w:sz w:val="28"/>
          <w:szCs w:val="28"/>
          <w:lang w:val="en-US"/>
        </w:rPr>
        <w:t xml:space="preserve">6. </w:t>
      </w:r>
      <w:r w:rsidR="00503BB6" w:rsidRPr="00C859E3">
        <w:rPr>
          <w:sz w:val="28"/>
          <w:szCs w:val="28"/>
        </w:rPr>
        <w:t>Vận động viên lập thành tích thi đấu trong các môn thể thao có nội dung thi đấu tập thể được hưởng mức thưởng bằng số lượng người được thưởng theo quy định của điều lệ giải nhân với 50% mức thường tương ứng quy định tại các khoản 1, 2, 3, 4 và 5 Điều này.</w:t>
      </w:r>
    </w:p>
    <w:p w:rsidR="00FC1E58" w:rsidRPr="00C859E3" w:rsidRDefault="00503BB6" w:rsidP="00C859E3">
      <w:pPr>
        <w:pStyle w:val="Bodytext40"/>
        <w:shd w:val="clear" w:color="auto" w:fill="auto"/>
        <w:spacing w:before="120" w:after="120" w:line="240" w:lineRule="auto"/>
        <w:ind w:firstLine="567"/>
        <w:rPr>
          <w:sz w:val="28"/>
          <w:szCs w:val="28"/>
        </w:rPr>
      </w:pPr>
      <w:r w:rsidRPr="00C859E3">
        <w:rPr>
          <w:sz w:val="28"/>
          <w:szCs w:val="28"/>
        </w:rPr>
        <w:t>Điều 4. Công tác lập dự toán, chấp hành dự toán</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Pr="00C859E3">
        <w:rPr>
          <w:sz w:val="28"/>
          <w:szCs w:val="28"/>
          <w:lang w:val="en-US"/>
        </w:rPr>
        <w:t xml:space="preserve">1. </w:t>
      </w:r>
      <w:r w:rsidR="00503BB6" w:rsidRPr="00C859E3">
        <w:rPr>
          <w:sz w:val="28"/>
          <w:szCs w:val="28"/>
        </w:rPr>
        <w:t>Công tác lập, phân bổ, chấp hành dự toán và quyết toán kinh phí thực hiện chê độ chi tiền thưởng tại các giải thi đấu thể thao trên địa bàn tỉnh được thực hiện theo quy định của L</w:t>
      </w:r>
      <w:r w:rsidRPr="00C859E3">
        <w:rPr>
          <w:sz w:val="28"/>
          <w:szCs w:val="28"/>
        </w:rPr>
        <w:t xml:space="preserve">uật Ngân sách nhà nước, Luật Kế </w:t>
      </w:r>
      <w:r w:rsidR="00503BB6" w:rsidRPr="00C859E3">
        <w:rPr>
          <w:sz w:val="28"/>
          <w:szCs w:val="28"/>
        </w:rPr>
        <w:t>toán và các văn bản hướng dẫn Luật.</w:t>
      </w:r>
    </w:p>
    <w:p w:rsidR="00C859E3"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lang w:val="en-US"/>
        </w:rPr>
        <w:tab/>
        <w:t xml:space="preserve">2. </w:t>
      </w:r>
      <w:r w:rsidR="00503BB6" w:rsidRPr="00C859E3">
        <w:rPr>
          <w:sz w:val="28"/>
          <w:szCs w:val="28"/>
        </w:rPr>
        <w:t>Hàng năm, cùng với thời gian lập dự toán ngân sách nhà nước, căn cứ vào chỉ tiêu, kế hoạch tổ chức các giải thi đấu thể thao được cấp có thẩm quyền phê duyệt, các cơ quan, đơn vị liên quan lập dự toán chi thực hiện chế độ chi tiền thưởng tại các giải thi đấu thể thao và tổng hợp vào dự toán ngân sách của cấp mình, gửi cơ quan tài chính cùng cấp để xem xét, tổng họp trình cấp có thẩm quyền xem xét, bố trí kinh phí thực hiện theo quy định.</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Pr="00C859E3">
        <w:rPr>
          <w:sz w:val="28"/>
          <w:szCs w:val="28"/>
          <w:lang w:val="en-US"/>
        </w:rPr>
        <w:t xml:space="preserve">3. </w:t>
      </w:r>
      <w:r w:rsidR="00503BB6" w:rsidRPr="00C859E3">
        <w:rPr>
          <w:sz w:val="28"/>
          <w:szCs w:val="28"/>
        </w:rPr>
        <w:t>Kinh phí thực hiện chế độ chi tiền thưởng tại c</w:t>
      </w:r>
      <w:r w:rsidRPr="00C859E3">
        <w:rPr>
          <w:sz w:val="28"/>
          <w:szCs w:val="28"/>
        </w:rPr>
        <w:t>ác giải thi đấu thể thao được tổng hợ</w:t>
      </w:r>
      <w:r w:rsidR="00503BB6" w:rsidRPr="00C859E3">
        <w:rPr>
          <w:sz w:val="28"/>
          <w:szCs w:val="28"/>
        </w:rPr>
        <w:t>p chung vào quyết toán ngân sách nhà nước hàng năm của cơ quan, đơn vị theo phân cấp ngân sách nhà nước hiện hành.</w:t>
      </w:r>
    </w:p>
    <w:p w:rsidR="00FC1E58" w:rsidRPr="00C859E3" w:rsidRDefault="00503BB6" w:rsidP="00C859E3">
      <w:pPr>
        <w:pStyle w:val="Bodytext40"/>
        <w:shd w:val="clear" w:color="auto" w:fill="auto"/>
        <w:spacing w:before="120" w:after="120" w:line="240" w:lineRule="auto"/>
        <w:ind w:firstLine="567"/>
        <w:rPr>
          <w:sz w:val="28"/>
          <w:szCs w:val="28"/>
        </w:rPr>
      </w:pPr>
      <w:r w:rsidRPr="00C859E3">
        <w:rPr>
          <w:sz w:val="28"/>
          <w:szCs w:val="28"/>
        </w:rPr>
        <w:t>Điều 5. Tổ chức thực hiện</w:t>
      </w:r>
    </w:p>
    <w:p w:rsidR="00FC1E58" w:rsidRPr="00C859E3" w:rsidRDefault="00641FAE" w:rsidP="00641FAE">
      <w:pPr>
        <w:pStyle w:val="Bodytext20"/>
        <w:shd w:val="clear" w:color="auto" w:fill="auto"/>
        <w:tabs>
          <w:tab w:val="left" w:pos="709"/>
        </w:tabs>
        <w:spacing w:before="120" w:after="120" w:line="240" w:lineRule="auto"/>
        <w:ind w:firstLine="567"/>
        <w:rPr>
          <w:sz w:val="28"/>
          <w:szCs w:val="28"/>
        </w:rPr>
      </w:pPr>
      <w:r>
        <w:rPr>
          <w:sz w:val="28"/>
          <w:szCs w:val="28"/>
          <w:lang w:val="en-US"/>
        </w:rPr>
        <w:tab/>
      </w:r>
      <w:r w:rsidR="00C859E3" w:rsidRPr="00C859E3">
        <w:rPr>
          <w:sz w:val="28"/>
          <w:szCs w:val="28"/>
          <w:lang w:val="en-US"/>
        </w:rPr>
        <w:t xml:space="preserve">1. </w:t>
      </w:r>
      <w:r w:rsidR="00503BB6" w:rsidRPr="00C859E3">
        <w:rPr>
          <w:sz w:val="28"/>
          <w:szCs w:val="28"/>
        </w:rPr>
        <w:t>Giao ủy ban nhân dân tỉnh tổ chức triển khai thực hiện Nghị quyết này.</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Pr="00C859E3">
        <w:rPr>
          <w:sz w:val="28"/>
          <w:szCs w:val="28"/>
          <w:lang w:val="en-US"/>
        </w:rPr>
        <w:t xml:space="preserve">2. </w:t>
      </w:r>
      <w:r w:rsidR="00503BB6" w:rsidRPr="00C859E3">
        <w:rPr>
          <w:sz w:val="28"/>
          <w:szCs w:val="28"/>
        </w:rPr>
        <w:t>Giao Thường trực Hội đồng nhân dân, các Ban Hội đồng nhân dân, các Tổ đại biểu Hội đồng nhân dân và các đại biểu Hội đồng nhân dân tỉnh giám sát việc thực hiện Nghị quyết.</w:t>
      </w:r>
    </w:p>
    <w:p w:rsidR="00FC1E58" w:rsidRPr="00C859E3" w:rsidRDefault="00C859E3" w:rsidP="00C859E3">
      <w:pPr>
        <w:pStyle w:val="Bodytext40"/>
        <w:shd w:val="clear" w:color="auto" w:fill="auto"/>
        <w:spacing w:before="120" w:after="120" w:line="240" w:lineRule="auto"/>
        <w:ind w:firstLine="567"/>
        <w:rPr>
          <w:sz w:val="28"/>
          <w:szCs w:val="28"/>
        </w:rPr>
      </w:pPr>
      <w:r w:rsidRPr="00C859E3">
        <w:rPr>
          <w:sz w:val="28"/>
          <w:szCs w:val="28"/>
        </w:rPr>
        <w:t>Điều 6. Điề</w:t>
      </w:r>
      <w:r w:rsidR="00503BB6" w:rsidRPr="00C859E3">
        <w:rPr>
          <w:sz w:val="28"/>
          <w:szCs w:val="28"/>
        </w:rPr>
        <w:t>u khoản thi hành</w:t>
      </w:r>
    </w:p>
    <w:p w:rsidR="00FC1E58" w:rsidRPr="00C859E3" w:rsidRDefault="006A6CB2" w:rsidP="006A6CB2">
      <w:pPr>
        <w:pStyle w:val="Bodytext20"/>
        <w:shd w:val="clear" w:color="auto" w:fill="auto"/>
        <w:tabs>
          <w:tab w:val="left" w:pos="709"/>
        </w:tabs>
        <w:spacing w:before="120" w:after="120" w:line="240" w:lineRule="auto"/>
        <w:rPr>
          <w:sz w:val="28"/>
          <w:szCs w:val="28"/>
        </w:rPr>
      </w:pPr>
      <w:r>
        <w:rPr>
          <w:sz w:val="28"/>
          <w:szCs w:val="28"/>
        </w:rPr>
        <w:tab/>
      </w:r>
      <w:r>
        <w:rPr>
          <w:sz w:val="28"/>
          <w:szCs w:val="28"/>
          <w:lang w:val="en-US"/>
        </w:rPr>
        <w:t xml:space="preserve">1. </w:t>
      </w:r>
      <w:r w:rsidR="00503BB6" w:rsidRPr="00C859E3">
        <w:rPr>
          <w:sz w:val="28"/>
          <w:szCs w:val="28"/>
        </w:rPr>
        <w:t>Mức chi tiền thưởng đối với vận động viên lập thành tích tại các giải thi đấu thể thao trên địa bàn tỉnh Bà Rịa - Vũng Tàu áp dụng từ ngày 01 tháng 01 năm 2021.</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r w:rsidRPr="00C859E3">
        <w:rPr>
          <w:sz w:val="28"/>
          <w:szCs w:val="28"/>
          <w:lang w:val="en-US"/>
        </w:rPr>
        <w:t xml:space="preserve">2. </w:t>
      </w:r>
      <w:r w:rsidR="00503BB6" w:rsidRPr="00C859E3">
        <w:rPr>
          <w:sz w:val="28"/>
          <w:szCs w:val="28"/>
        </w:rPr>
        <w:t>Khi các văn bản quy định về mức chi tiền thưởng dẫn chiếu để áp dụng tại Nghị quyết này được sửa đổi, bổ sung hoặc thay thế bằng văn bản mới thì áp dụng theo các văn bản sửa đổi, bổ sung hoặc thay thế.</w:t>
      </w:r>
    </w:p>
    <w:p w:rsidR="00FC1E58" w:rsidRPr="00C859E3" w:rsidRDefault="00C859E3" w:rsidP="00C859E3">
      <w:pPr>
        <w:pStyle w:val="Bodytext20"/>
        <w:shd w:val="clear" w:color="auto" w:fill="auto"/>
        <w:tabs>
          <w:tab w:val="left" w:pos="709"/>
        </w:tabs>
        <w:spacing w:before="120" w:after="120" w:line="240" w:lineRule="auto"/>
        <w:ind w:firstLine="567"/>
        <w:rPr>
          <w:sz w:val="28"/>
          <w:szCs w:val="28"/>
        </w:rPr>
      </w:pPr>
      <w:r w:rsidRPr="00C859E3">
        <w:rPr>
          <w:sz w:val="28"/>
          <w:szCs w:val="28"/>
        </w:rPr>
        <w:tab/>
      </w:r>
      <w:bookmarkStart w:id="4" w:name="_GoBack"/>
      <w:bookmarkEnd w:id="4"/>
      <w:r w:rsidRPr="00C859E3">
        <w:rPr>
          <w:sz w:val="28"/>
          <w:szCs w:val="28"/>
          <w:lang w:val="en-US"/>
        </w:rPr>
        <w:t xml:space="preserve">3. </w:t>
      </w:r>
      <w:r w:rsidR="00503BB6" w:rsidRPr="00C859E3">
        <w:rPr>
          <w:sz w:val="28"/>
          <w:szCs w:val="28"/>
        </w:rPr>
        <w:t>Nghị quyết này đã được Hội đồng nhân dân tỉnh Bà Rịa - Vũng Tàu Khóa VI, Kỳ họp thứ Mười chín thông qua ngày 13 tháng 12 năm 2020 và có hiệu lực thi hành từ ngày 01 tháng 01 năm 2021./.</w:t>
      </w:r>
    </w:p>
    <w:p w:rsidR="00FC1E58" w:rsidRDefault="00FC1E58">
      <w:pPr>
        <w:pStyle w:val="Bodytext60"/>
        <w:shd w:val="clear" w:color="auto" w:fill="auto"/>
        <w:spacing w:line="246" w:lineRule="exact"/>
      </w:pPr>
    </w:p>
    <w:sectPr w:rsidR="00FC1E58">
      <w:pgSz w:w="12240" w:h="18720"/>
      <w:pgMar w:top="2054" w:right="1256" w:bottom="2150" w:left="17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58D" w:rsidRDefault="00503BB6">
      <w:r>
        <w:separator/>
      </w:r>
    </w:p>
  </w:endnote>
  <w:endnote w:type="continuationSeparator" w:id="0">
    <w:p w:rsidR="0023058D" w:rsidRDefault="0050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58" w:rsidRDefault="00FC1E58"/>
  </w:footnote>
  <w:footnote w:type="continuationSeparator" w:id="0">
    <w:p w:rsidR="00FC1E58" w:rsidRDefault="00FC1E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73F56"/>
    <w:multiLevelType w:val="multilevel"/>
    <w:tmpl w:val="0A384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9C5DBA"/>
    <w:multiLevelType w:val="multilevel"/>
    <w:tmpl w:val="D2940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50419C"/>
    <w:multiLevelType w:val="multilevel"/>
    <w:tmpl w:val="59F43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FB1F37"/>
    <w:multiLevelType w:val="multilevel"/>
    <w:tmpl w:val="67022A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3232B2"/>
    <w:multiLevelType w:val="multilevel"/>
    <w:tmpl w:val="1CB83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6A04FE"/>
    <w:multiLevelType w:val="multilevel"/>
    <w:tmpl w:val="68E8E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3C5A30"/>
    <w:multiLevelType w:val="multilevel"/>
    <w:tmpl w:val="65CC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8A5564"/>
    <w:multiLevelType w:val="multilevel"/>
    <w:tmpl w:val="5BDED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3"/>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58"/>
    <w:rsid w:val="0004124C"/>
    <w:rsid w:val="0023058D"/>
    <w:rsid w:val="004C4589"/>
    <w:rsid w:val="00503BB6"/>
    <w:rsid w:val="00641FAE"/>
    <w:rsid w:val="006A6CB2"/>
    <w:rsid w:val="00C859E3"/>
    <w:rsid w:val="00FC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23F4C-59DB-446F-BE08-3F9B69A3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rPr>
      <w:b/>
      <w:bCs/>
      <w:i w:val="0"/>
      <w:iCs w:val="0"/>
      <w:smallCaps w:val="0"/>
      <w:strike w:val="0"/>
      <w:sz w:val="26"/>
      <w:szCs w:val="26"/>
      <w:u w:val="none"/>
    </w:rPr>
  </w:style>
  <w:style w:type="character" w:customStyle="1" w:styleId="Bodytext2Exact">
    <w:name w:val="Body text (2) Exact"/>
    <w:basedOn w:val="DefaultParagraphFont"/>
    <w:rPr>
      <w:b w:val="0"/>
      <w:bCs w:val="0"/>
      <w:i w:val="0"/>
      <w:iCs w:val="0"/>
      <w:smallCaps w:val="0"/>
      <w:strike w:val="0"/>
      <w:sz w:val="26"/>
      <w:szCs w:val="26"/>
      <w:u w:val="none"/>
    </w:rPr>
  </w:style>
  <w:style w:type="character" w:customStyle="1" w:styleId="Bodytext2Exact0">
    <w:name w:val="Body text (2) Exact"/>
    <w:basedOn w:val="Bodytext2"/>
    <w:rPr>
      <w:b w:val="0"/>
      <w:bCs w:val="0"/>
      <w:i w:val="0"/>
      <w:iCs w:val="0"/>
      <w:smallCaps w:val="0"/>
      <w:strike w:val="0"/>
      <w:color w:val="43437C"/>
      <w:sz w:val="26"/>
      <w:szCs w:val="26"/>
      <w:u w:val="none"/>
    </w:rPr>
  </w:style>
  <w:style w:type="character" w:customStyle="1" w:styleId="Heading1">
    <w:name w:val="Heading #1_"/>
    <w:basedOn w:val="DefaultParagraphFont"/>
    <w:link w:val="Heading10"/>
    <w:rPr>
      <w:b/>
      <w:bCs/>
      <w:i w:val="0"/>
      <w:iCs w:val="0"/>
      <w:smallCaps w:val="0"/>
      <w:strike w:val="0"/>
      <w:sz w:val="26"/>
      <w:szCs w:val="26"/>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
    <w:name w:val="Body text (3)_"/>
    <w:basedOn w:val="DefaultParagraphFont"/>
    <w:link w:val="Bodytext30"/>
    <w:rPr>
      <w:b w:val="0"/>
      <w:bCs w:val="0"/>
      <w:i/>
      <w:iCs/>
      <w:smallCaps w:val="0"/>
      <w:strike w:val="0"/>
      <w:sz w:val="26"/>
      <w:szCs w:val="26"/>
      <w:u w:val="none"/>
    </w:rPr>
  </w:style>
  <w:style w:type="character" w:customStyle="1" w:styleId="Bodytext2">
    <w:name w:val="Body text (2)_"/>
    <w:basedOn w:val="DefaultParagraphFont"/>
    <w:link w:val="Bodytext20"/>
    <w:rPr>
      <w:b w:val="0"/>
      <w:bCs w:val="0"/>
      <w:i w:val="0"/>
      <w:iCs w:val="0"/>
      <w:smallCaps w:val="0"/>
      <w:strike w:val="0"/>
      <w:sz w:val="26"/>
      <w:szCs w:val="26"/>
      <w:u w:val="none"/>
    </w:rPr>
  </w:style>
  <w:style w:type="character" w:customStyle="1" w:styleId="Bodytext4">
    <w:name w:val="Body text (4)_"/>
    <w:basedOn w:val="DefaultParagraphFont"/>
    <w:link w:val="Bodytext40"/>
    <w:rPr>
      <w:b/>
      <w:bCs/>
      <w:i w:val="0"/>
      <w:iCs w:val="0"/>
      <w:smallCaps w:val="0"/>
      <w:strike w:val="0"/>
      <w:sz w:val="26"/>
      <w:szCs w:val="26"/>
      <w:u w:val="none"/>
    </w:rPr>
  </w:style>
  <w:style w:type="character" w:customStyle="1" w:styleId="Bodytext5">
    <w:name w:val="Body text (5)_"/>
    <w:basedOn w:val="DefaultParagraphFont"/>
    <w:link w:val="Bodytext50"/>
    <w:rPr>
      <w:b/>
      <w:bCs/>
      <w:i/>
      <w:iCs/>
      <w:smallCaps w:val="0"/>
      <w:strike w:val="0"/>
      <w:sz w:val="22"/>
      <w:szCs w:val="22"/>
      <w:u w:val="none"/>
    </w:rPr>
  </w:style>
  <w:style w:type="character" w:customStyle="1" w:styleId="Bodytext6">
    <w:name w:val="Body text (6)_"/>
    <w:basedOn w:val="DefaultParagraphFont"/>
    <w:link w:val="Bodytext60"/>
    <w:rPr>
      <w:b w:val="0"/>
      <w:bCs w:val="0"/>
      <w:i w:val="0"/>
      <w:iCs w:val="0"/>
      <w:smallCaps w:val="0"/>
      <w:strike w:val="0"/>
      <w:sz w:val="21"/>
      <w:szCs w:val="21"/>
      <w:u w:val="none"/>
    </w:rPr>
  </w:style>
  <w:style w:type="character" w:customStyle="1" w:styleId="Bodytext613pt">
    <w:name w:val="Body text (6) + 13 pt"/>
    <w:aliases w:val="Bold"/>
    <w:basedOn w:val="Bodytext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40">
    <w:name w:val="Body text (4)"/>
    <w:basedOn w:val="Normal"/>
    <w:link w:val="Bodytext4"/>
    <w:pPr>
      <w:shd w:val="clear" w:color="auto" w:fill="FFFFFF"/>
      <w:spacing w:before="100" w:after="100" w:line="288" w:lineRule="exact"/>
      <w:jc w:val="both"/>
    </w:pPr>
    <w:rPr>
      <w:b/>
      <w:bCs/>
      <w:sz w:val="26"/>
      <w:szCs w:val="26"/>
    </w:rPr>
  </w:style>
  <w:style w:type="paragraph" w:customStyle="1" w:styleId="Bodytext20">
    <w:name w:val="Body text (2)"/>
    <w:basedOn w:val="Normal"/>
    <w:link w:val="Bodytext2"/>
    <w:pPr>
      <w:shd w:val="clear" w:color="auto" w:fill="FFFFFF"/>
      <w:spacing w:before="100" w:after="100" w:line="288" w:lineRule="exact"/>
      <w:jc w:val="both"/>
    </w:pPr>
    <w:rPr>
      <w:sz w:val="26"/>
      <w:szCs w:val="26"/>
    </w:rPr>
  </w:style>
  <w:style w:type="paragraph" w:customStyle="1" w:styleId="Heading10">
    <w:name w:val="Heading #1"/>
    <w:basedOn w:val="Normal"/>
    <w:link w:val="Heading1"/>
    <w:pPr>
      <w:shd w:val="clear" w:color="auto" w:fill="FFFFFF"/>
      <w:spacing w:after="360" w:line="312" w:lineRule="exact"/>
      <w:jc w:val="center"/>
      <w:outlineLvl w:val="0"/>
    </w:pPr>
    <w:rPr>
      <w:b/>
      <w:bCs/>
      <w:sz w:val="26"/>
      <w:szCs w:val="26"/>
    </w:rPr>
  </w:style>
  <w:style w:type="paragraph" w:customStyle="1" w:styleId="Bodytext30">
    <w:name w:val="Body text (3)"/>
    <w:basedOn w:val="Normal"/>
    <w:link w:val="Bodytext3"/>
    <w:pPr>
      <w:shd w:val="clear" w:color="auto" w:fill="FFFFFF"/>
      <w:spacing w:before="360" w:after="700" w:line="288" w:lineRule="exact"/>
      <w:jc w:val="right"/>
    </w:pPr>
    <w:rPr>
      <w:i/>
      <w:iCs/>
      <w:sz w:val="26"/>
      <w:szCs w:val="26"/>
    </w:rPr>
  </w:style>
  <w:style w:type="paragraph" w:customStyle="1" w:styleId="Bodytext50">
    <w:name w:val="Body text (5)"/>
    <w:basedOn w:val="Normal"/>
    <w:link w:val="Bodytext5"/>
    <w:pPr>
      <w:shd w:val="clear" w:color="auto" w:fill="FFFFFF"/>
      <w:spacing w:before="260" w:line="252" w:lineRule="exact"/>
    </w:pPr>
    <w:rPr>
      <w:b/>
      <w:bCs/>
      <w:i/>
      <w:iCs/>
      <w:sz w:val="22"/>
      <w:szCs w:val="22"/>
    </w:rPr>
  </w:style>
  <w:style w:type="paragraph" w:customStyle="1" w:styleId="Bodytext60">
    <w:name w:val="Body text (6)"/>
    <w:basedOn w:val="Normal"/>
    <w:link w:val="Bodytext6"/>
    <w:pPr>
      <w:shd w:val="clear" w:color="auto" w:fill="FFFFFF"/>
      <w:spacing w:line="252" w:lineRule="exac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6DDBD-265F-4A5C-B98A-B4905991919F}"/>
</file>

<file path=customXml/itemProps2.xml><?xml version="1.0" encoding="utf-8"?>
<ds:datastoreItem xmlns:ds="http://schemas.openxmlformats.org/officeDocument/2006/customXml" ds:itemID="{38CC5817-260D-49A8-AAD3-448792DE0FE4}"/>
</file>

<file path=customXml/itemProps3.xml><?xml version="1.0" encoding="utf-8"?>
<ds:datastoreItem xmlns:ds="http://schemas.openxmlformats.org/officeDocument/2006/customXml" ds:itemID="{056C8193-B230-4B61-ACC6-B6FBDF68FCB3}"/>
</file>

<file path=docProps/app.xml><?xml version="1.0" encoding="utf-8"?>
<Properties xmlns="http://schemas.openxmlformats.org/officeDocument/2006/extended-properties" xmlns:vt="http://schemas.openxmlformats.org/officeDocument/2006/docPropsVTypes">
  <Template>Normal</Template>
  <TotalTime>20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lyttt</dc:creator>
  <cp:lastModifiedBy>lyttt</cp:lastModifiedBy>
  <cp:revision>5</cp:revision>
  <dcterms:created xsi:type="dcterms:W3CDTF">2020-12-17T09:29:00Z</dcterms:created>
  <dcterms:modified xsi:type="dcterms:W3CDTF">2020-12-18T02:16:00Z</dcterms:modified>
</cp:coreProperties>
</file>